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50" w:rsidRPr="00EB764B" w:rsidRDefault="009D13BB" w:rsidP="009D13BB">
      <w:pPr>
        <w:spacing w:after="0" w:line="240" w:lineRule="auto"/>
        <w:rPr>
          <w:rFonts w:ascii="Times New Roman" w:eastAsia="Arial Unicode MS" w:hAnsi="Times New Roman"/>
          <w:b/>
          <w:color w:val="000000"/>
          <w:sz w:val="24"/>
          <w:szCs w:val="24"/>
          <w:lang w:eastAsia="uk-UA"/>
        </w:rPr>
      </w:pPr>
      <w:bookmarkStart w:id="0" w:name="bookmark1"/>
      <w:r>
        <w:rPr>
          <w:rFonts w:ascii="Times New Roman" w:eastAsia="Arial Unicode MS" w:hAnsi="Times New Roman"/>
          <w:b/>
          <w:color w:val="000000"/>
          <w:sz w:val="24"/>
          <w:szCs w:val="24"/>
          <w:lang w:eastAsia="uk-UA"/>
        </w:rPr>
        <w:t xml:space="preserve">                                                                           </w:t>
      </w:r>
      <w:r w:rsidR="00653450" w:rsidRPr="00EB764B">
        <w:rPr>
          <w:rFonts w:ascii="Times New Roman" w:eastAsia="Arial Unicode MS" w:hAnsi="Times New Roman"/>
          <w:b/>
          <w:color w:val="000000"/>
          <w:sz w:val="24"/>
          <w:szCs w:val="24"/>
          <w:lang w:eastAsia="uk-UA"/>
        </w:rPr>
        <w:t>Паспорт</w:t>
      </w:r>
      <w:bookmarkEnd w:id="0"/>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цільової програми фінансування мобілізаційних заходів та заходів з підготовки до оборони на 2022 рік</w:t>
      </w:r>
    </w:p>
    <w:p w:rsidR="00653450" w:rsidRPr="00EB764B" w:rsidRDefault="00653450" w:rsidP="00653450">
      <w:pPr>
        <w:spacing w:after="0" w:line="240" w:lineRule="auto"/>
        <w:jc w:val="center"/>
        <w:rPr>
          <w:rFonts w:ascii="Times New Roman" w:eastAsia="Arial Unicode MS" w:hAnsi="Times New Roman"/>
          <w:color w:val="000000"/>
          <w:sz w:val="24"/>
          <w:szCs w:val="24"/>
          <w:lang w:eastAsia="uk-UA"/>
        </w:rPr>
      </w:pP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1. Ініціатор розроблення програми: </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         Перший відділ Івано-Франківського районного територіального центру комплектування та соціального забезпечення.</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2. Розробник програми:</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         Перший відділ Івано-Франківського районного територіального центру комплектування та соціального забезпечення.</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 Термін реалізації програми – 2022 рік.</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4. Етапи фінансування програми – 2022 рік.</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5. Обсяги фінансування програми (тис. грн.):</w:t>
      </w:r>
      <w:bookmarkStart w:id="1" w:name="_GoBack"/>
      <w:bookmarkEnd w:id="1"/>
    </w:p>
    <w:p w:rsidR="00653450" w:rsidRPr="00EB764B" w:rsidRDefault="00653450" w:rsidP="00653450">
      <w:pPr>
        <w:spacing w:after="0" w:line="240" w:lineRule="auto"/>
        <w:rPr>
          <w:rFonts w:ascii="Times New Roman" w:eastAsia="Arial Unicode MS" w:hAnsi="Times New Roman"/>
          <w:color w:val="000000"/>
          <w:sz w:val="24"/>
          <w:szCs w:val="24"/>
          <w:lang w:eastAsia="uk-UA"/>
        </w:rPr>
      </w:pPr>
    </w:p>
    <w:tbl>
      <w:tblPr>
        <w:tblW w:w="0" w:type="auto"/>
        <w:jc w:val="center"/>
        <w:tblLayout w:type="fixed"/>
        <w:tblCellMar>
          <w:left w:w="0" w:type="dxa"/>
          <w:right w:w="0" w:type="dxa"/>
        </w:tblCellMar>
        <w:tblLook w:val="0000" w:firstRow="0" w:lastRow="0" w:firstColumn="0" w:lastColumn="0" w:noHBand="0" w:noVBand="0"/>
      </w:tblPr>
      <w:tblGrid>
        <w:gridCol w:w="984"/>
        <w:gridCol w:w="1022"/>
        <w:gridCol w:w="1795"/>
        <w:gridCol w:w="1646"/>
        <w:gridCol w:w="1349"/>
      </w:tblGrid>
      <w:tr w:rsidR="00653450" w:rsidRPr="00EB764B" w:rsidTr="00AB6C1F">
        <w:trPr>
          <w:trHeight w:val="245"/>
          <w:jc w:val="center"/>
        </w:trPr>
        <w:tc>
          <w:tcPr>
            <w:tcW w:w="984" w:type="dxa"/>
            <w:vMerge w:val="restart"/>
            <w:tcBorders>
              <w:top w:val="single" w:sz="4" w:space="0" w:color="auto"/>
              <w:left w:val="single" w:sz="4" w:space="0" w:color="auto"/>
              <w:bottom w:val="nil"/>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Рік</w:t>
            </w:r>
          </w:p>
        </w:tc>
        <w:tc>
          <w:tcPr>
            <w:tcW w:w="581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Очікувані обсяги фінансування</w:t>
            </w:r>
          </w:p>
        </w:tc>
      </w:tr>
      <w:tr w:rsidR="00653450" w:rsidRPr="00EB764B" w:rsidTr="00AB6C1F">
        <w:trPr>
          <w:trHeight w:val="235"/>
          <w:jc w:val="center"/>
        </w:trPr>
        <w:tc>
          <w:tcPr>
            <w:tcW w:w="984" w:type="dxa"/>
            <w:vMerge/>
            <w:tcBorders>
              <w:top w:val="nil"/>
              <w:left w:val="single" w:sz="4" w:space="0" w:color="auto"/>
              <w:bottom w:val="nil"/>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1022" w:type="dxa"/>
            <w:vMerge w:val="restart"/>
            <w:tcBorders>
              <w:top w:val="single" w:sz="4" w:space="0" w:color="auto"/>
              <w:left w:val="single" w:sz="4" w:space="0" w:color="auto"/>
              <w:bottom w:val="nil"/>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Всього</w:t>
            </w:r>
          </w:p>
        </w:tc>
        <w:tc>
          <w:tcPr>
            <w:tcW w:w="47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в т.ч. за джерелами фінансування</w:t>
            </w:r>
          </w:p>
        </w:tc>
      </w:tr>
      <w:tr w:rsidR="00653450" w:rsidRPr="00EB764B" w:rsidTr="00AB6C1F">
        <w:trPr>
          <w:trHeight w:val="230"/>
          <w:jc w:val="center"/>
        </w:trPr>
        <w:tc>
          <w:tcPr>
            <w:tcW w:w="984" w:type="dxa"/>
            <w:vMerge/>
            <w:tcBorders>
              <w:top w:val="nil"/>
              <w:left w:val="single" w:sz="4" w:space="0" w:color="auto"/>
              <w:bottom w:val="single" w:sz="4" w:space="0" w:color="auto"/>
              <w:right w:val="single" w:sz="4" w:space="0" w:color="auto"/>
            </w:tcBorders>
            <w:shd w:val="clear" w:color="auto" w:fill="FFFFFF"/>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1022" w:type="dxa"/>
            <w:vMerge/>
            <w:tcBorders>
              <w:top w:val="nil"/>
              <w:left w:val="single" w:sz="4" w:space="0" w:color="auto"/>
              <w:bottom w:val="single" w:sz="4" w:space="0" w:color="auto"/>
              <w:right w:val="single" w:sz="4" w:space="0" w:color="auto"/>
            </w:tcBorders>
            <w:shd w:val="clear" w:color="auto" w:fill="FFFFFF"/>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w:t>
            </w:r>
          </w:p>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бюджет</w:t>
            </w: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місцевий бюджет</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інші джерела</w:t>
            </w:r>
          </w:p>
        </w:tc>
      </w:tr>
      <w:tr w:rsidR="00653450" w:rsidRPr="00EB764B" w:rsidTr="00AB6C1F">
        <w:trPr>
          <w:trHeight w:val="25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2022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val="en-US" w:eastAsia="uk-UA"/>
              </w:rPr>
              <w:t>39</w:t>
            </w:r>
            <w:r w:rsidRPr="00EB764B">
              <w:rPr>
                <w:rFonts w:ascii="Times New Roman" w:eastAsia="Arial Unicode MS" w:hAnsi="Times New Roman"/>
                <w:color w:val="000000"/>
                <w:sz w:val="24"/>
                <w:szCs w:val="24"/>
                <w:lang w:eastAsia="uk-UA"/>
              </w:rPr>
              <w:t>,0</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val="en-US" w:eastAsia="uk-UA"/>
              </w:rPr>
              <w:t>39</w:t>
            </w:r>
            <w:r w:rsidRPr="00EB764B">
              <w:rPr>
                <w:rFonts w:ascii="Times New Roman" w:eastAsia="Arial Unicode MS" w:hAnsi="Times New Roman"/>
                <w:color w:val="000000"/>
                <w:sz w:val="24"/>
                <w:szCs w:val="24"/>
                <w:lang w:eastAsia="uk-UA"/>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r>
    </w:tbl>
    <w:p w:rsidR="00653450" w:rsidRPr="00EB764B" w:rsidRDefault="00653450" w:rsidP="00653450">
      <w:pPr>
        <w:spacing w:after="0" w:line="240" w:lineRule="auto"/>
        <w:rPr>
          <w:rFonts w:ascii="Times New Roman" w:eastAsia="Arial Unicode MS" w:hAnsi="Times New Roman"/>
          <w:color w:val="000000"/>
          <w:sz w:val="24"/>
          <w:szCs w:val="24"/>
          <w:lang w:eastAsia="uk-UA"/>
        </w:rPr>
      </w:pP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6. Перелік заходів, обсяги та джерела фінансування цільової програми сільської (селищної) ради територіальної громади (додається).</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7. Очікувані результати виконання програми.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Реалізація цільової програми фінансування мобілізаційних заходів та заходів з підготовки до територіальної оборони на 2022 рік сприятиме:</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забезпеченню на території територіальної громади мобілізаційних заходів, </w:t>
      </w:r>
      <w:proofErr w:type="spellStart"/>
      <w:r w:rsidRPr="00EB764B">
        <w:rPr>
          <w:rFonts w:ascii="Times New Roman" w:eastAsia="Arial Unicode MS" w:hAnsi="Times New Roman"/>
          <w:color w:val="000000"/>
          <w:sz w:val="24"/>
          <w:szCs w:val="24"/>
          <w:lang w:eastAsia="uk-UA"/>
        </w:rPr>
        <w:t>заходів</w:t>
      </w:r>
      <w:proofErr w:type="spellEnd"/>
      <w:r w:rsidRPr="00EB764B">
        <w:rPr>
          <w:rFonts w:ascii="Times New Roman" w:eastAsia="Arial Unicode MS" w:hAnsi="Times New Roman"/>
          <w:color w:val="000000"/>
          <w:sz w:val="24"/>
          <w:szCs w:val="24"/>
          <w:lang w:eastAsia="uk-UA"/>
        </w:rPr>
        <w:t xml:space="preserve"> з підготовки та ведення територіальної оборони;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забезпеченню готовності до формування підрозділів територіальної оборони в особливий період та спроможності їх до виконання завдань територіальної оборони на території територіальних громад;</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забезпеченню готовності штабу територіальної оборони та пунктів управління територіальною обороною до роботи та спроможності їх здійснювати планування і організацію територіальної оборони в територіальній громаді.</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p>
    <w:p w:rsidR="00653450" w:rsidRPr="00EB764B" w:rsidRDefault="00653450" w:rsidP="00653450">
      <w:pPr>
        <w:spacing w:after="0" w:line="240" w:lineRule="auto"/>
        <w:ind w:right="5430"/>
        <w:jc w:val="both"/>
        <w:rPr>
          <w:rFonts w:ascii="Times New Roman" w:eastAsia="Arial Unicode MS" w:hAnsi="Times New Roman"/>
          <w:color w:val="000000"/>
          <w:sz w:val="24"/>
          <w:szCs w:val="24"/>
          <w:lang w:eastAsia="uk-UA"/>
        </w:rPr>
      </w:pPr>
      <w:bookmarkStart w:id="2" w:name="bookmark3"/>
      <w:r w:rsidRPr="00EB764B">
        <w:rPr>
          <w:rFonts w:ascii="Times New Roman" w:eastAsia="Arial Unicode MS" w:hAnsi="Times New Roman"/>
          <w:color w:val="000000"/>
          <w:sz w:val="24"/>
          <w:szCs w:val="24"/>
          <w:lang w:eastAsia="uk-UA"/>
        </w:rPr>
        <w:t>Замовник програми:</w:t>
      </w:r>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Перший відділ Івано-Франківського</w:t>
      </w:r>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 xml:space="preserve"> районного територіального центру </w:t>
      </w:r>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комплектування та соціального</w:t>
      </w:r>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 xml:space="preserve"> забезпечення.</w:t>
      </w:r>
    </w:p>
    <w:p w:rsidR="00653450" w:rsidRPr="00EB764B" w:rsidRDefault="00653450" w:rsidP="00653450">
      <w:pPr>
        <w:spacing w:after="0" w:line="240" w:lineRule="auto"/>
        <w:ind w:right="-2"/>
        <w:jc w:val="both"/>
        <w:rPr>
          <w:rFonts w:ascii="Times New Roman" w:eastAsia="Arial Unicode MS" w:hAnsi="Times New Roman"/>
          <w:color w:val="000000"/>
          <w:sz w:val="24"/>
          <w:szCs w:val="24"/>
          <w:lang w:val="ru-RU" w:eastAsia="uk-UA"/>
        </w:rPr>
      </w:pPr>
      <w:r w:rsidRPr="00EB764B">
        <w:rPr>
          <w:rFonts w:ascii="Times New Roman" w:eastAsia="Arial Unicode MS" w:hAnsi="Times New Roman"/>
          <w:color w:val="000000"/>
          <w:sz w:val="24"/>
          <w:szCs w:val="24"/>
          <w:lang w:eastAsia="uk-UA"/>
        </w:rPr>
        <w:t xml:space="preserve">                                                                              </w:t>
      </w:r>
      <w:r w:rsidRPr="00EB764B">
        <w:rPr>
          <w:rFonts w:ascii="Times New Roman" w:eastAsia="Arial Unicode MS" w:hAnsi="Times New Roman"/>
          <w:color w:val="000000"/>
          <w:sz w:val="24"/>
          <w:szCs w:val="24"/>
          <w:lang w:eastAsia="uk-UA"/>
        </w:rPr>
        <w:tab/>
      </w:r>
      <w:r w:rsidRPr="00EB764B">
        <w:rPr>
          <w:rFonts w:ascii="Times New Roman" w:eastAsia="Arial Unicode MS" w:hAnsi="Times New Roman"/>
          <w:color w:val="000000"/>
          <w:sz w:val="24"/>
          <w:szCs w:val="24"/>
          <w:lang w:eastAsia="uk-UA"/>
        </w:rPr>
        <w:tab/>
      </w:r>
      <w:r w:rsidRPr="00EB764B">
        <w:rPr>
          <w:rFonts w:ascii="Times New Roman" w:eastAsia="Arial Unicode MS" w:hAnsi="Times New Roman"/>
          <w:color w:val="000000"/>
          <w:sz w:val="24"/>
          <w:szCs w:val="24"/>
          <w:lang w:eastAsia="uk-UA"/>
        </w:rPr>
        <w:tab/>
      </w:r>
      <w:r w:rsidRPr="00EB764B">
        <w:rPr>
          <w:rFonts w:ascii="Times New Roman" w:eastAsia="Arial Unicode MS" w:hAnsi="Times New Roman"/>
          <w:b/>
          <w:color w:val="000000"/>
          <w:sz w:val="24"/>
          <w:szCs w:val="24"/>
          <w:lang w:eastAsia="uk-UA"/>
        </w:rPr>
        <w:t xml:space="preserve">     Ігор ГАВРИЛЮК</w:t>
      </w:r>
    </w:p>
    <w:p w:rsidR="00653450" w:rsidRPr="00EB764B" w:rsidRDefault="00653450" w:rsidP="00653450">
      <w:pPr>
        <w:spacing w:after="0" w:line="240" w:lineRule="auto"/>
        <w:ind w:right="5430"/>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Керівник програми:</w:t>
      </w:r>
    </w:p>
    <w:p w:rsidR="00653450" w:rsidRPr="00EB764B" w:rsidRDefault="00653450" w:rsidP="00653450">
      <w:pPr>
        <w:tabs>
          <w:tab w:val="left" w:pos="7443"/>
        </w:tabs>
        <w:spacing w:after="0" w:line="240" w:lineRule="auto"/>
        <w:ind w:right="-2"/>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Перший заступник селищного  голови                                          Наталія ТЮТЮННИК</w:t>
      </w:r>
    </w:p>
    <w:p w:rsidR="00653450" w:rsidRPr="00EB764B" w:rsidRDefault="00653450" w:rsidP="00653450">
      <w:pPr>
        <w:spacing w:after="0" w:line="240" w:lineRule="auto"/>
        <w:ind w:right="-2"/>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ind w:right="-2"/>
        <w:rPr>
          <w:rFonts w:ascii="Times New Roman" w:eastAsia="Arial Unicode MS" w:hAnsi="Times New Roman"/>
          <w:color w:val="000000"/>
          <w:sz w:val="24"/>
          <w:szCs w:val="24"/>
          <w:lang w:eastAsia="uk-UA"/>
        </w:rPr>
      </w:pPr>
    </w:p>
    <w:p w:rsidR="00653450" w:rsidRPr="00EB764B" w:rsidRDefault="00653450" w:rsidP="00653450">
      <w:pPr>
        <w:spacing w:after="0" w:line="240" w:lineRule="auto"/>
        <w:ind w:right="-2"/>
        <w:rPr>
          <w:rFonts w:ascii="Times New Roman" w:eastAsia="Arial Unicode MS" w:hAnsi="Times New Roman"/>
          <w:color w:val="000000"/>
          <w:sz w:val="24"/>
          <w:szCs w:val="24"/>
          <w:lang w:eastAsia="uk-UA"/>
        </w:rPr>
      </w:pPr>
    </w:p>
    <w:p w:rsidR="00653450" w:rsidRPr="00EB764B" w:rsidRDefault="00653450" w:rsidP="00653450">
      <w:pPr>
        <w:spacing w:after="0" w:line="240" w:lineRule="auto"/>
        <w:ind w:right="-2"/>
        <w:rPr>
          <w:rFonts w:ascii="Times New Roman" w:eastAsia="Arial Unicode MS" w:hAnsi="Times New Roman"/>
          <w:color w:val="000000"/>
          <w:sz w:val="24"/>
          <w:szCs w:val="24"/>
          <w:lang w:eastAsia="uk-UA"/>
        </w:rPr>
      </w:pPr>
    </w:p>
    <w:p w:rsidR="00653450" w:rsidRPr="00EB764B" w:rsidRDefault="00653450" w:rsidP="00653450">
      <w:pPr>
        <w:spacing w:after="0" w:line="240" w:lineRule="auto"/>
        <w:ind w:right="-2"/>
        <w:rPr>
          <w:rFonts w:ascii="Times New Roman" w:eastAsia="Arial Unicode MS" w:hAnsi="Times New Roman"/>
          <w:color w:val="000000"/>
          <w:sz w:val="24"/>
          <w:szCs w:val="24"/>
          <w:lang w:eastAsia="uk-UA"/>
        </w:rPr>
      </w:pPr>
    </w:p>
    <w:p w:rsidR="00653450" w:rsidRPr="00EB764B" w:rsidRDefault="00653450" w:rsidP="00653450">
      <w:pPr>
        <w:spacing w:after="0" w:line="240" w:lineRule="auto"/>
        <w:ind w:right="-2"/>
        <w:rPr>
          <w:rFonts w:ascii="Times New Roman" w:eastAsia="Arial Unicode MS" w:hAnsi="Times New Roman"/>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lastRenderedPageBreak/>
        <w:t xml:space="preserve">Обґрунтування доцільності розроблення </w:t>
      </w:r>
      <w:bookmarkStart w:id="3" w:name="bookmark4"/>
      <w:bookmarkEnd w:id="2"/>
      <w:r w:rsidRPr="00EB764B">
        <w:rPr>
          <w:rFonts w:ascii="Times New Roman" w:eastAsia="Arial Unicode MS" w:hAnsi="Times New Roman"/>
          <w:b/>
          <w:color w:val="000000"/>
          <w:sz w:val="24"/>
          <w:szCs w:val="24"/>
          <w:lang w:eastAsia="uk-UA"/>
        </w:rPr>
        <w:t>цільової програми</w:t>
      </w: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фінансування мобілізаційних заходів та заходів з підготовки до  оборони на 2022 рік</w:t>
      </w: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Загальна частина</w:t>
      </w:r>
      <w:bookmarkEnd w:id="3"/>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Зовнішньополітична ситуація довкола держави та суспільно-політична ситуація, що склалася на Сході нашої держави, потребує мобілізації зусиль місцевих органів влади, органів місцевого самоврядування і державних структур, відповідальних за правопорядок і безпеку в країні та її захист від зовнішнього військового втручання, а також значних матеріальних та фінансових ресурсів для забезпечення готовності держави до оборони в тому числі і до ведення територіальної оборони.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bookmarkStart w:id="4" w:name="bookmark5"/>
      <w:r w:rsidRPr="00EB764B">
        <w:rPr>
          <w:rFonts w:ascii="Times New Roman" w:eastAsia="Arial Unicode MS" w:hAnsi="Times New Roman"/>
          <w:color w:val="000000"/>
          <w:sz w:val="24"/>
          <w:szCs w:val="24"/>
          <w:lang w:eastAsia="uk-UA"/>
        </w:rPr>
        <w:t>Враховуючи складність ситуації та нагальну необхідність підвищення рівня готовності до ведення територіальної оборони і на виконання законів України «Про оборону України», «Про мобілізаційну підготовку та мобілізацію», «Про військовий обов’язок і військову службу», «Про місцеве самоврядування в Україні», Положення про територіальну оборону України затверджене Указом Президента України від 23 вересня 2016 року № 406/2016 та рішень Ради оборони Івано-Франківської області.</w:t>
      </w: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Мета Програми</w:t>
      </w:r>
      <w:bookmarkEnd w:id="4"/>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Метою програми є створення належних умов для проведення мобілізаційних заходів, підготовки до територіальної оборони, готовності усіх ланок воєнної організації, інших військових формувань та правоохоронних органів України, органів місцевого самоврядування та органів державної влади, цивільного захисту (цивільної оборони), а також населення і території територіальних громад до участі в обороні, вирішення комплексу завдань щодо підготовки до збройного захисту у разі збройної агресії або відкритого збройного конфлікту та ведення територіальної оборони.</w:t>
      </w:r>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bookmarkStart w:id="5" w:name="bookmark6"/>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Основні завдання Програми</w:t>
      </w:r>
      <w:bookmarkEnd w:id="5"/>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Основними завданнями Програми є:</w:t>
      </w:r>
    </w:p>
    <w:p w:rsidR="00653450" w:rsidRPr="00EB764B" w:rsidRDefault="00653450" w:rsidP="00653450">
      <w:pPr>
        <w:spacing w:after="0" w:line="240" w:lineRule="auto"/>
        <w:jc w:val="both"/>
        <w:rPr>
          <w:rFonts w:ascii="Times New Roman" w:eastAsia="Arial Unicode MS" w:hAnsi="Times New Roman"/>
          <w:color w:val="FF0000"/>
          <w:sz w:val="24"/>
          <w:szCs w:val="24"/>
          <w:lang w:eastAsia="uk-UA"/>
        </w:rPr>
      </w:pPr>
      <w:r w:rsidRPr="00EB764B">
        <w:rPr>
          <w:rFonts w:ascii="Times New Roman" w:eastAsia="Arial Unicode MS" w:hAnsi="Times New Roman"/>
          <w:color w:val="000000"/>
          <w:sz w:val="24"/>
          <w:szCs w:val="24"/>
          <w:lang w:eastAsia="uk-UA"/>
        </w:rPr>
        <w:t xml:space="preserve">забезпечення своєчасної мобілізації людських і транспортних ресурсів, підтримання системи управління сільської (селищної)  ради територіальної громади у готовності до роботи в </w:t>
      </w:r>
      <w:r w:rsidRPr="00EB764B">
        <w:rPr>
          <w:rFonts w:ascii="Times New Roman" w:eastAsia="Arial Unicode MS" w:hAnsi="Times New Roman"/>
          <w:sz w:val="24"/>
          <w:szCs w:val="24"/>
          <w:lang w:eastAsia="uk-UA"/>
        </w:rPr>
        <w:t>умовах воєнного часу</w:t>
      </w:r>
      <w:r w:rsidRPr="00EB764B">
        <w:rPr>
          <w:rFonts w:ascii="Times New Roman" w:eastAsia="Arial Unicode MS" w:hAnsi="Times New Roman"/>
          <w:color w:val="000000"/>
          <w:sz w:val="24"/>
          <w:szCs w:val="24"/>
          <w:lang w:eastAsia="uk-UA"/>
        </w:rPr>
        <w:t>;</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своєчасного оповіщення і прибуття громадян, які призиваються на військову службу, техніки на збірні пункти та у військові частини;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виділення (в тимчасове користування) будівель, споруд, земельних ділянок, транспортних та інших матеріально-технічних засобів, надання послуг Збройним Силам України, Національній поліції України, Національній гвардії України, іншим військовим формуванням, які створені відповідно до законодавства України для забезпечення потреб відповідно до мобілізаційних планів та плану територіальної оборони;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часткове забезпечення проведення заходів з підготовки підрозділів територіальної оборони до виконання завдань територіальної оборони;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формування підрозділів територіальної оборони та їх готовності до застосування в особливий період;</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готовності до ведення територіальної оборони;</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надання транспортних послуг та забезпечення паливно-мастильними матеріалами;</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готовності пунктів управління.</w:t>
      </w: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bookmarkStart w:id="6" w:name="bookmark7"/>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lastRenderedPageBreak/>
        <w:t>Фінансове забезпечення Програми</w:t>
      </w:r>
      <w:bookmarkEnd w:id="6"/>
    </w:p>
    <w:p w:rsidR="00653450" w:rsidRPr="00EB764B" w:rsidRDefault="00653450" w:rsidP="00653450">
      <w:pPr>
        <w:spacing w:after="0" w:line="240" w:lineRule="auto"/>
        <w:rPr>
          <w:rFonts w:ascii="Times New Roman" w:eastAsia="Arial Unicode MS" w:hAnsi="Times New Roman"/>
          <w:b/>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sz w:val="24"/>
          <w:szCs w:val="24"/>
          <w:lang w:eastAsia="uk-UA"/>
        </w:rPr>
      </w:pPr>
      <w:r w:rsidRPr="00EB764B">
        <w:rPr>
          <w:rFonts w:ascii="Times New Roman" w:eastAsia="Arial Unicode MS" w:hAnsi="Times New Roman"/>
          <w:color w:val="000000"/>
          <w:sz w:val="24"/>
          <w:szCs w:val="24"/>
          <w:lang w:eastAsia="uk-UA"/>
        </w:rPr>
        <w:t xml:space="preserve">Фінансове забезпечення Програми здійснюється за рахунок коштів  бюджету сільської (селищної) ради територіальної громади, а також інших джерел фінансування </w:t>
      </w:r>
      <w:r w:rsidRPr="00EB764B">
        <w:rPr>
          <w:rFonts w:ascii="Times New Roman" w:eastAsia="Arial Unicode MS" w:hAnsi="Times New Roman"/>
          <w:sz w:val="24"/>
          <w:szCs w:val="24"/>
          <w:lang w:eastAsia="uk-UA"/>
        </w:rPr>
        <w:t>відповідно до вимог чинного законодавства.</w:t>
      </w:r>
    </w:p>
    <w:p w:rsidR="00653450" w:rsidRPr="00EB764B" w:rsidRDefault="00653450" w:rsidP="00653450">
      <w:pPr>
        <w:spacing w:after="0" w:line="240" w:lineRule="auto"/>
        <w:jc w:val="both"/>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Обсяг фінансування з сільського (селищного) бюджету територіальної громади для реалізації заходів Програми визначається, виходячи із можливостей його дохідної частини.</w:t>
      </w:r>
    </w:p>
    <w:p w:rsidR="00653450" w:rsidRPr="00EB764B" w:rsidRDefault="00653450" w:rsidP="00653450">
      <w:pPr>
        <w:spacing w:after="0" w:line="240" w:lineRule="auto"/>
        <w:rPr>
          <w:rFonts w:ascii="Times New Roman" w:eastAsia="Arial Unicode MS" w:hAnsi="Times New Roman"/>
          <w:b/>
          <w:sz w:val="24"/>
          <w:szCs w:val="24"/>
          <w:lang w:eastAsia="uk-UA"/>
        </w:rPr>
      </w:pPr>
      <w:bookmarkStart w:id="7" w:name="bookmark8"/>
    </w:p>
    <w:p w:rsidR="00653450" w:rsidRPr="00EB764B" w:rsidRDefault="00653450" w:rsidP="00653450">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Очікувані результати виконання Програми</w:t>
      </w:r>
      <w:bookmarkEnd w:id="7"/>
    </w:p>
    <w:p w:rsidR="00653450" w:rsidRPr="00EB764B" w:rsidRDefault="00653450" w:rsidP="00653450">
      <w:pPr>
        <w:spacing w:after="0" w:line="240" w:lineRule="auto"/>
        <w:rPr>
          <w:rFonts w:ascii="Times New Roman" w:eastAsia="Arial Unicode MS" w:hAnsi="Times New Roman"/>
          <w:color w:val="000000"/>
          <w:sz w:val="24"/>
          <w:szCs w:val="24"/>
          <w:lang w:eastAsia="uk-UA"/>
        </w:rPr>
      </w:pP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Реалізація цільової програми фінансування мобілізаційних заходів та заходів з підготовки до оборони на 2022 рік сприятиме:</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покращенню виконання заходів мобілізаційної підготовки та мобілізації в органах місцевого самоврядування, на підприємствах, організаціях та установах;</w:t>
      </w:r>
    </w:p>
    <w:p w:rsidR="00653450" w:rsidRPr="00EB764B" w:rsidRDefault="00653450" w:rsidP="00653450">
      <w:pPr>
        <w:spacing w:after="0" w:line="240" w:lineRule="auto"/>
        <w:jc w:val="both"/>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підвищенню готовності системи оповіщення керівного складу територіальної та інформуванню населення про загрозу чи виникнення надзвичайних ситуацій забезпечення заходів підготовки до територіальної оборони на території територіальної громади;</w:t>
      </w:r>
    </w:p>
    <w:p w:rsidR="00653450" w:rsidRPr="00EB764B" w:rsidRDefault="00653450" w:rsidP="00653450">
      <w:pPr>
        <w:spacing w:after="0" w:line="240" w:lineRule="auto"/>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забезпеченню готовності до роботи  пунктів управління на території відповідальності першим відділом Івано-Франківського районного територіального центру комплектування та соціального забезпечення.</w:t>
      </w:r>
    </w:p>
    <w:p w:rsidR="00653450"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Pr="00EB764B" w:rsidRDefault="00653450" w:rsidP="00653450">
      <w:pPr>
        <w:rPr>
          <w:rFonts w:ascii="Times New Roman" w:hAnsi="Times New Roman"/>
        </w:rPr>
      </w:pPr>
    </w:p>
    <w:p w:rsidR="00653450" w:rsidRDefault="00653450" w:rsidP="00653450">
      <w:pPr>
        <w:rPr>
          <w:rFonts w:ascii="Times New Roman" w:hAnsi="Times New Roman"/>
        </w:rPr>
      </w:pPr>
    </w:p>
    <w:p w:rsidR="00653450" w:rsidRDefault="00653450" w:rsidP="00653450">
      <w:pPr>
        <w:rPr>
          <w:rFonts w:ascii="Times New Roman" w:hAnsi="Times New Roman"/>
        </w:rPr>
      </w:pPr>
    </w:p>
    <w:p w:rsidR="00653450" w:rsidRDefault="00653450" w:rsidP="00653450">
      <w:pPr>
        <w:rPr>
          <w:rFonts w:ascii="Times New Roman" w:hAnsi="Times New Roman"/>
        </w:rPr>
      </w:pPr>
    </w:p>
    <w:p w:rsidR="00653450" w:rsidRDefault="00653450" w:rsidP="00653450">
      <w:pPr>
        <w:rPr>
          <w:rFonts w:ascii="Times New Roman" w:hAnsi="Times New Roman"/>
        </w:rPr>
        <w:sectPr w:rsidR="00653450">
          <w:pgSz w:w="11906" w:h="16838"/>
          <w:pgMar w:top="850" w:right="850" w:bottom="850" w:left="1417" w:header="708" w:footer="708" w:gutter="0"/>
          <w:cols w:space="708"/>
          <w:docGrid w:linePitch="360"/>
        </w:sectPr>
      </w:pPr>
    </w:p>
    <w:p w:rsidR="00653450" w:rsidRPr="00EB764B" w:rsidRDefault="00653450" w:rsidP="00653450">
      <w:pPr>
        <w:spacing w:after="0" w:line="240" w:lineRule="auto"/>
        <w:jc w:val="center"/>
        <w:rPr>
          <w:rFonts w:ascii="Times New Roman" w:eastAsiaTheme="minorHAnsi" w:hAnsi="Times New Roman"/>
          <w:b/>
          <w:sz w:val="24"/>
          <w:szCs w:val="24"/>
        </w:rPr>
      </w:pPr>
      <w:r w:rsidRPr="00EB764B">
        <w:rPr>
          <w:rFonts w:ascii="Times New Roman" w:eastAsiaTheme="minorHAnsi" w:hAnsi="Times New Roman"/>
          <w:b/>
          <w:sz w:val="24"/>
          <w:szCs w:val="24"/>
        </w:rPr>
        <w:lastRenderedPageBreak/>
        <w:t>Перелік</w:t>
      </w:r>
    </w:p>
    <w:p w:rsidR="00653450" w:rsidRPr="00EB764B" w:rsidRDefault="00653450" w:rsidP="00653450">
      <w:pPr>
        <w:spacing w:after="0" w:line="240" w:lineRule="auto"/>
        <w:jc w:val="center"/>
        <w:rPr>
          <w:rFonts w:ascii="Times New Roman" w:eastAsiaTheme="minorHAnsi" w:hAnsi="Times New Roman"/>
          <w:b/>
          <w:sz w:val="24"/>
          <w:szCs w:val="24"/>
        </w:rPr>
      </w:pPr>
      <w:r w:rsidRPr="00EB764B">
        <w:rPr>
          <w:rFonts w:ascii="Times New Roman" w:eastAsiaTheme="minorHAnsi" w:hAnsi="Times New Roman"/>
          <w:b/>
          <w:sz w:val="24"/>
          <w:szCs w:val="24"/>
        </w:rPr>
        <w:t>заходів, обсяги та джерела фінансування цільової програми фінансування  мобілізаційних заходів та заходів з підготовки до  оборони селищної ради на 2022 рік</w:t>
      </w:r>
    </w:p>
    <w:p w:rsidR="00653450" w:rsidRPr="00EB764B" w:rsidRDefault="00653450" w:rsidP="00653450">
      <w:pPr>
        <w:spacing w:after="0" w:line="240" w:lineRule="auto"/>
        <w:jc w:val="center"/>
        <w:rPr>
          <w:rFonts w:ascii="Times New Roman" w:eastAsiaTheme="minorHAnsi" w:hAnsi="Times New Roman"/>
          <w:sz w:val="24"/>
          <w:szCs w:val="24"/>
        </w:rPr>
      </w:pPr>
    </w:p>
    <w:tbl>
      <w:tblPr>
        <w:tblW w:w="1410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961"/>
        <w:gridCol w:w="2410"/>
        <w:gridCol w:w="850"/>
        <w:gridCol w:w="1560"/>
        <w:gridCol w:w="1417"/>
        <w:gridCol w:w="2338"/>
      </w:tblGrid>
      <w:tr w:rsidR="00653450" w:rsidRPr="00EB764B" w:rsidTr="00AB6C1F">
        <w:trPr>
          <w:tblHeader/>
        </w:trPr>
        <w:tc>
          <w:tcPr>
            <w:tcW w:w="567" w:type="dxa"/>
            <w:vMerge w:val="restart"/>
            <w:vAlign w:val="center"/>
          </w:tcPr>
          <w:p w:rsidR="00653450" w:rsidRPr="00EB764B" w:rsidRDefault="00653450" w:rsidP="00AB6C1F">
            <w:pPr>
              <w:spacing w:after="0" w:line="240" w:lineRule="auto"/>
              <w:ind w:right="-108"/>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 п/</w:t>
            </w:r>
            <w:proofErr w:type="spellStart"/>
            <w:r w:rsidRPr="00EB764B">
              <w:rPr>
                <w:rFonts w:ascii="Times New Roman" w:eastAsia="Arial Unicode MS" w:hAnsi="Times New Roman"/>
                <w:b/>
                <w:color w:val="000000"/>
                <w:sz w:val="24"/>
                <w:szCs w:val="24"/>
                <w:lang w:eastAsia="uk-UA"/>
              </w:rPr>
              <w:t>п</w:t>
            </w:r>
            <w:proofErr w:type="spellEnd"/>
          </w:p>
        </w:tc>
        <w:tc>
          <w:tcPr>
            <w:tcW w:w="4961" w:type="dxa"/>
            <w:vMerge w:val="restart"/>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Найменування заходу</w:t>
            </w:r>
          </w:p>
        </w:tc>
        <w:tc>
          <w:tcPr>
            <w:tcW w:w="2410" w:type="dxa"/>
            <w:vMerge w:val="restart"/>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Виконавець</w:t>
            </w:r>
          </w:p>
        </w:tc>
        <w:tc>
          <w:tcPr>
            <w:tcW w:w="3827" w:type="dxa"/>
            <w:gridSpan w:val="3"/>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Орієнтовні обсяги фінансування, тис. грн.</w:t>
            </w:r>
          </w:p>
        </w:tc>
        <w:tc>
          <w:tcPr>
            <w:tcW w:w="2338" w:type="dxa"/>
            <w:vMerge w:val="restart"/>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Очікувані результати</w:t>
            </w:r>
          </w:p>
        </w:tc>
      </w:tr>
      <w:tr w:rsidR="00653450" w:rsidRPr="00EB764B" w:rsidTr="00AB6C1F">
        <w:trPr>
          <w:trHeight w:val="472"/>
          <w:tblHeader/>
        </w:trPr>
        <w:tc>
          <w:tcPr>
            <w:tcW w:w="567"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2410"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850" w:type="dxa"/>
            <w:vMerge w:val="restart"/>
            <w:textDirection w:val="btLr"/>
            <w:vAlign w:val="center"/>
          </w:tcPr>
          <w:p w:rsidR="00653450" w:rsidRPr="00EB764B" w:rsidRDefault="00653450" w:rsidP="00AB6C1F">
            <w:pPr>
              <w:spacing w:after="0" w:line="240" w:lineRule="auto"/>
              <w:ind w:right="113"/>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всього</w:t>
            </w:r>
          </w:p>
        </w:tc>
        <w:tc>
          <w:tcPr>
            <w:tcW w:w="2977" w:type="dxa"/>
            <w:gridSpan w:val="2"/>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в т.ч. за джерелами фінансування</w:t>
            </w:r>
          </w:p>
        </w:tc>
        <w:tc>
          <w:tcPr>
            <w:tcW w:w="2338"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r>
      <w:tr w:rsidR="00653450" w:rsidRPr="00EB764B" w:rsidTr="00AB6C1F">
        <w:trPr>
          <w:trHeight w:val="706"/>
          <w:tblHeader/>
        </w:trPr>
        <w:tc>
          <w:tcPr>
            <w:tcW w:w="567"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2410"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850" w:type="dxa"/>
            <w:vMerge/>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p>
        </w:tc>
        <w:tc>
          <w:tcPr>
            <w:tcW w:w="1560" w:type="dxa"/>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Бюджет ТГ</w:t>
            </w:r>
          </w:p>
        </w:tc>
        <w:tc>
          <w:tcPr>
            <w:tcW w:w="1417" w:type="dxa"/>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Інші джерела</w:t>
            </w:r>
          </w:p>
        </w:tc>
        <w:tc>
          <w:tcPr>
            <w:tcW w:w="2338" w:type="dxa"/>
            <w:vMerge/>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r>
      <w:tr w:rsidR="00653450" w:rsidRPr="00EB764B" w:rsidTr="00AB6C1F">
        <w:tc>
          <w:tcPr>
            <w:tcW w:w="567" w:type="dxa"/>
          </w:tcPr>
          <w:p w:rsidR="00653450" w:rsidRPr="00EB764B" w:rsidRDefault="00653450" w:rsidP="00AB6C1F">
            <w:pPr>
              <w:spacing w:after="0" w:line="240" w:lineRule="auto"/>
              <w:jc w:val="center"/>
              <w:rPr>
                <w:rFonts w:ascii="Times New Roman" w:eastAsia="Arial Unicode MS" w:hAnsi="Times New Roman"/>
                <w:sz w:val="24"/>
                <w:szCs w:val="24"/>
                <w:lang w:eastAsia="uk-UA"/>
              </w:rPr>
            </w:pPr>
          </w:p>
        </w:tc>
        <w:tc>
          <w:tcPr>
            <w:tcW w:w="4961" w:type="dxa"/>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Підготовка бази мобілізаційного розгортання (дільниць оповіщення) та забезпечення їх участі у навчаннях та тренуваннях</w:t>
            </w:r>
          </w:p>
        </w:tc>
        <w:tc>
          <w:tcPr>
            <w:tcW w:w="2410"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 дільниця оповіщення ТГ</w:t>
            </w:r>
          </w:p>
        </w:tc>
        <w:tc>
          <w:tcPr>
            <w:tcW w:w="85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56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417" w:type="dxa"/>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Участь дільниці оповіщення військовозобов’язаних та техніки в навчаннях та тренуваннях</w:t>
            </w:r>
          </w:p>
        </w:tc>
      </w:tr>
      <w:tr w:rsidR="00653450" w:rsidRPr="00EB764B" w:rsidTr="00AB6C1F">
        <w:tc>
          <w:tcPr>
            <w:tcW w:w="567" w:type="dxa"/>
          </w:tcPr>
          <w:p w:rsidR="00653450" w:rsidRPr="00EB764B" w:rsidRDefault="00653450" w:rsidP="00AB6C1F">
            <w:pPr>
              <w:spacing w:after="0" w:line="240" w:lineRule="auto"/>
              <w:jc w:val="center"/>
              <w:rPr>
                <w:rFonts w:ascii="Times New Roman" w:eastAsia="Arial Unicode MS" w:hAnsi="Times New Roman"/>
                <w:sz w:val="24"/>
                <w:szCs w:val="24"/>
                <w:lang w:eastAsia="uk-UA"/>
              </w:rPr>
            </w:pPr>
          </w:p>
        </w:tc>
        <w:tc>
          <w:tcPr>
            <w:tcW w:w="4961" w:type="dxa"/>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Контроль за здійсненням заходів з мобілізаційної підготовки та мобілізації, стану територіальної оборони в органах державної влади та місцевого самоврядування, на підприємствах, установах та організаціях ТГ</w:t>
            </w:r>
          </w:p>
        </w:tc>
        <w:tc>
          <w:tcPr>
            <w:tcW w:w="2410"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1,0</w:t>
            </w:r>
          </w:p>
        </w:tc>
        <w:tc>
          <w:tcPr>
            <w:tcW w:w="1560"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1,0</w:t>
            </w:r>
          </w:p>
        </w:tc>
        <w:tc>
          <w:tcPr>
            <w:tcW w:w="1417" w:type="dxa"/>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покращення виконання заходів мобілізаційної підготовки та мобілізації </w:t>
            </w:r>
          </w:p>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Обладнання  пунктів управління районного територіального центру комплектування та соціальної підтримки матеріальними засобами</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56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41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2338"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готовності до роботи  пунктів управління РТЦК та СП</w:t>
            </w:r>
          </w:p>
        </w:tc>
      </w:tr>
      <w:tr w:rsidR="00653450" w:rsidRPr="00EB764B" w:rsidTr="00AB6C1F">
        <w:tc>
          <w:tcPr>
            <w:tcW w:w="567"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p w:rsidR="00653450" w:rsidRPr="00EB764B" w:rsidRDefault="00653450" w:rsidP="00AB6C1F">
            <w:pPr>
              <w:spacing w:after="0" w:line="240" w:lineRule="auto"/>
              <w:rPr>
                <w:rFonts w:ascii="Times New Roman" w:eastAsia="Arial Unicode MS" w:hAnsi="Times New Roman"/>
                <w:color w:val="000000"/>
                <w:sz w:val="24"/>
                <w:szCs w:val="24"/>
                <w:lang w:eastAsia="uk-UA"/>
              </w:rPr>
            </w:pPr>
          </w:p>
          <w:p w:rsidR="00653450" w:rsidRPr="00EB764B" w:rsidRDefault="00653450" w:rsidP="00AB6C1F">
            <w:pPr>
              <w:spacing w:after="0" w:line="240" w:lineRule="auto"/>
              <w:rPr>
                <w:rFonts w:ascii="Times New Roman" w:eastAsia="Arial Unicode MS" w:hAnsi="Times New Roman"/>
                <w:color w:val="000000"/>
                <w:sz w:val="24"/>
                <w:szCs w:val="24"/>
                <w:lang w:eastAsia="uk-UA"/>
              </w:rPr>
            </w:pPr>
          </w:p>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4961" w:type="dxa"/>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Створення не знижувального запасу паливно-мастильних матеріалів для забезпечення доставки транспортних засобів і техніки до визначених військових частин</w:t>
            </w:r>
          </w:p>
        </w:tc>
        <w:tc>
          <w:tcPr>
            <w:tcW w:w="2410"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районний територіальний центр комплектування та соціальної </w:t>
            </w:r>
            <w:r w:rsidRPr="00EB764B">
              <w:rPr>
                <w:rFonts w:ascii="Times New Roman" w:eastAsia="Arial Unicode MS" w:hAnsi="Times New Roman"/>
                <w:color w:val="000000"/>
                <w:sz w:val="24"/>
                <w:szCs w:val="24"/>
                <w:lang w:eastAsia="uk-UA"/>
              </w:rPr>
              <w:lastRenderedPageBreak/>
              <w:t>підтримки</w:t>
            </w:r>
          </w:p>
        </w:tc>
        <w:tc>
          <w:tcPr>
            <w:tcW w:w="850" w:type="dxa"/>
          </w:tcPr>
          <w:p w:rsidR="00653450" w:rsidRPr="00EB764B" w:rsidRDefault="00653450" w:rsidP="00AB6C1F">
            <w:pPr>
              <w:spacing w:after="0" w:line="240" w:lineRule="auto"/>
              <w:jc w:val="center"/>
              <w:rPr>
                <w:rFonts w:ascii="Times New Roman" w:eastAsia="Arial Unicode MS" w:hAnsi="Times New Roman"/>
                <w:noProof/>
                <w:color w:val="000000"/>
                <w:sz w:val="24"/>
                <w:szCs w:val="24"/>
                <w:lang w:eastAsia="uk-UA"/>
              </w:rPr>
            </w:pPr>
            <w:r w:rsidRPr="00EB764B">
              <w:rPr>
                <w:rFonts w:ascii="Times New Roman" w:eastAsia="Arial Unicode MS" w:hAnsi="Times New Roman"/>
                <w:noProof/>
                <w:color w:val="000000"/>
                <w:sz w:val="24"/>
                <w:szCs w:val="24"/>
                <w:lang w:eastAsia="uk-UA"/>
              </w:rPr>
              <w:lastRenderedPageBreak/>
              <w:t>3,0</w:t>
            </w:r>
          </w:p>
        </w:tc>
        <w:tc>
          <w:tcPr>
            <w:tcW w:w="156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417"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2338"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Своєчасна та організована подача мобілізаційних ресурсів</w:t>
            </w: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Надання транспортних послуг та забезпечення паливно-мастильними матеріалами для забезпечення прибуття особового складу підрозділів територіальної оборони до місць проведення «Дня бійця», «Єдиного всеукраїнського стрілецького дня», проведення занять із організаційним ядром та повернення назад</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noProof/>
                <w:color w:val="000000"/>
                <w:sz w:val="24"/>
                <w:szCs w:val="24"/>
                <w:lang w:eastAsia="uk-UA"/>
              </w:rPr>
              <w:t>2,0</w:t>
            </w:r>
          </w:p>
        </w:tc>
        <w:tc>
          <w:tcPr>
            <w:tcW w:w="156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2,0</w:t>
            </w:r>
          </w:p>
        </w:tc>
        <w:tc>
          <w:tcPr>
            <w:tcW w:w="141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2338"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Підвищення рівня готовності особового складу організаційного ядра підрозділів територіальної оборони до виконання завдань за призначенням</w:t>
            </w: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Надання транспортних послуг та забезпечення паливно-мастильними матеріалами для доставки резервістів та військовозобов’язаних до місць проведення навчальних (спеціальних), одноденних зборів та повернення назад</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shd w:val="clear" w:color="auto" w:fill="auto"/>
          </w:tcPr>
          <w:p w:rsidR="00653450" w:rsidRPr="00EB764B" w:rsidRDefault="00653450" w:rsidP="00AB6C1F">
            <w:pPr>
              <w:spacing w:after="0" w:line="240" w:lineRule="auto"/>
              <w:jc w:val="center"/>
              <w:rPr>
                <w:rFonts w:ascii="Times New Roman" w:eastAsia="Arial Unicode MS" w:hAnsi="Times New Roman"/>
                <w:noProof/>
                <w:color w:val="000000"/>
                <w:sz w:val="24"/>
                <w:szCs w:val="24"/>
                <w:lang w:eastAsia="uk-UA"/>
              </w:rPr>
            </w:pPr>
            <w:r w:rsidRPr="00EB764B">
              <w:rPr>
                <w:rFonts w:ascii="Times New Roman" w:eastAsia="Arial Unicode MS" w:hAnsi="Times New Roman"/>
                <w:noProof/>
                <w:color w:val="000000"/>
                <w:sz w:val="24"/>
                <w:szCs w:val="24"/>
                <w:lang w:eastAsia="uk-UA"/>
              </w:rPr>
              <w:t>5,0</w:t>
            </w:r>
          </w:p>
        </w:tc>
        <w:tc>
          <w:tcPr>
            <w:tcW w:w="156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5,0</w:t>
            </w:r>
          </w:p>
        </w:tc>
        <w:tc>
          <w:tcPr>
            <w:tcW w:w="141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2338"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Забезпечення харчування особового складу підрозділів територіальної оборони під час виконання ними заходів «Дня бійця», «Єдиного всеукраїнського стрілецького дня» та занять з організаційним ядром підрозділів територіальної оборони</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noProof/>
                <w:color w:val="000000"/>
                <w:sz w:val="24"/>
                <w:szCs w:val="24"/>
                <w:lang w:eastAsia="uk-UA"/>
              </w:rPr>
              <w:t>3,0</w:t>
            </w:r>
          </w:p>
        </w:tc>
        <w:tc>
          <w:tcPr>
            <w:tcW w:w="156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417" w:type="dxa"/>
            <w:shd w:val="clear" w:color="auto" w:fill="auto"/>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особового складу організаційного ядра підрозділів територіальної оборони харчуванням</w:t>
            </w: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 xml:space="preserve">Виконання заходів із забезпечення впровадження предмету навчання </w:t>
            </w:r>
            <w:proofErr w:type="spellStart"/>
            <w:r w:rsidRPr="00EB764B">
              <w:rPr>
                <w:rFonts w:ascii="Times New Roman" w:eastAsia="Arial Unicode MS" w:hAnsi="Times New Roman"/>
                <w:sz w:val="24"/>
                <w:szCs w:val="24"/>
                <w:lang w:eastAsia="uk-UA"/>
              </w:rPr>
              <w:t>Повітряно-десантної</w:t>
            </w:r>
            <w:proofErr w:type="spellEnd"/>
            <w:r w:rsidRPr="00EB764B">
              <w:rPr>
                <w:rFonts w:ascii="Times New Roman" w:eastAsia="Arial Unicode MS" w:hAnsi="Times New Roman"/>
                <w:sz w:val="24"/>
                <w:szCs w:val="24"/>
                <w:lang w:eastAsia="uk-UA"/>
              </w:rPr>
              <w:t xml:space="preserve"> підготовки для підрозділів територіальної оборони та здійснення стрибків із парашутом</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районний територіальний центр комплектування та соціальної </w:t>
            </w:r>
            <w:r w:rsidRPr="00EB764B">
              <w:rPr>
                <w:rFonts w:ascii="Times New Roman" w:eastAsia="Arial Unicode MS" w:hAnsi="Times New Roman"/>
                <w:color w:val="000000"/>
                <w:sz w:val="24"/>
                <w:szCs w:val="24"/>
                <w:lang w:eastAsia="uk-UA"/>
              </w:rPr>
              <w:lastRenderedPageBreak/>
              <w:t>підтримки</w:t>
            </w:r>
          </w:p>
        </w:tc>
        <w:tc>
          <w:tcPr>
            <w:tcW w:w="85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noProof/>
                <w:color w:val="000000"/>
                <w:sz w:val="24"/>
                <w:szCs w:val="24"/>
                <w:lang w:eastAsia="uk-UA"/>
              </w:rPr>
            </w:pPr>
            <w:r w:rsidRPr="00EB764B">
              <w:rPr>
                <w:rFonts w:ascii="Times New Roman" w:eastAsia="Arial Unicode MS" w:hAnsi="Times New Roman"/>
                <w:color w:val="000000"/>
                <w:sz w:val="24"/>
                <w:szCs w:val="24"/>
                <w:lang w:eastAsia="uk-UA"/>
              </w:rPr>
              <w:lastRenderedPageBreak/>
              <w:t>4,0</w:t>
            </w:r>
          </w:p>
        </w:tc>
        <w:tc>
          <w:tcPr>
            <w:tcW w:w="156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4,0</w:t>
            </w:r>
          </w:p>
        </w:tc>
        <w:tc>
          <w:tcPr>
            <w:tcW w:w="1417" w:type="dxa"/>
            <w:shd w:val="clear" w:color="auto" w:fill="auto"/>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 xml:space="preserve">Забезпечення високого рівня підготовки особового складу розвідувальних та </w:t>
            </w:r>
            <w:r w:rsidRPr="00EB764B">
              <w:rPr>
                <w:rFonts w:ascii="Times New Roman" w:eastAsia="Arial Unicode MS" w:hAnsi="Times New Roman"/>
                <w:color w:val="000000"/>
                <w:sz w:val="24"/>
                <w:szCs w:val="24"/>
                <w:lang w:eastAsia="uk-UA"/>
              </w:rPr>
              <w:lastRenderedPageBreak/>
              <w:t>десантних підрозділів</w:t>
            </w: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 xml:space="preserve">Придбання засобів зв’язку для підрозділів територіальної оборони (ретранслятори </w:t>
            </w:r>
            <w:proofErr w:type="spellStart"/>
            <w:r w:rsidRPr="00EB764B">
              <w:rPr>
                <w:rFonts w:ascii="Times New Roman" w:eastAsia="Arial Unicode MS" w:hAnsi="Times New Roman"/>
                <w:sz w:val="24"/>
                <w:szCs w:val="24"/>
                <w:lang w:eastAsia="uk-UA"/>
              </w:rPr>
              <w:t>транкінгового</w:t>
            </w:r>
            <w:proofErr w:type="spellEnd"/>
            <w:r w:rsidRPr="00EB764B">
              <w:rPr>
                <w:rFonts w:ascii="Times New Roman" w:eastAsia="Arial Unicode MS" w:hAnsi="Times New Roman"/>
                <w:sz w:val="24"/>
                <w:szCs w:val="24"/>
                <w:lang w:eastAsia="uk-UA"/>
              </w:rPr>
              <w:t xml:space="preserve"> радіозв’язку, радіостанцій переносних та радіостанцій автомобільних)</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shd w:val="clear" w:color="auto" w:fill="auto"/>
            <w:vAlign w:val="center"/>
          </w:tcPr>
          <w:p w:rsidR="00653450" w:rsidRPr="00EB764B" w:rsidRDefault="00653450" w:rsidP="00AB6C1F">
            <w:pPr>
              <w:spacing w:after="0" w:line="240" w:lineRule="auto"/>
              <w:ind w:right="-108"/>
              <w:jc w:val="center"/>
              <w:rPr>
                <w:rFonts w:ascii="Times New Roman" w:eastAsia="Arial Unicode MS" w:hAnsi="Times New Roman"/>
                <w:noProof/>
                <w:color w:val="000000"/>
                <w:sz w:val="24"/>
                <w:szCs w:val="24"/>
                <w:lang w:eastAsia="uk-UA"/>
              </w:rPr>
            </w:pPr>
            <w:r w:rsidRPr="00EB764B">
              <w:rPr>
                <w:rFonts w:ascii="Times New Roman" w:eastAsia="Arial Unicode MS" w:hAnsi="Times New Roman"/>
                <w:noProof/>
                <w:color w:val="000000"/>
                <w:sz w:val="24"/>
                <w:szCs w:val="24"/>
                <w:lang w:eastAsia="uk-UA"/>
              </w:rPr>
              <w:t>5,0</w:t>
            </w:r>
          </w:p>
        </w:tc>
        <w:tc>
          <w:tcPr>
            <w:tcW w:w="156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5,0</w:t>
            </w:r>
          </w:p>
        </w:tc>
        <w:tc>
          <w:tcPr>
            <w:tcW w:w="1417" w:type="dxa"/>
            <w:shd w:val="clear" w:color="auto" w:fill="auto"/>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shd w:val="clear" w:color="auto" w:fill="auto"/>
            <w:vAlign w:val="center"/>
          </w:tcPr>
          <w:p w:rsidR="00653450" w:rsidRPr="00EB764B" w:rsidRDefault="00653450" w:rsidP="00AB6C1F">
            <w:pPr>
              <w:spacing w:after="0" w:line="240" w:lineRule="auto"/>
              <w:ind w:right="-113"/>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Своєчасна передача інформації, команд та підвищення бойової та мобілізаційної готовності</w:t>
            </w:r>
          </w:p>
        </w:tc>
      </w:tr>
      <w:tr w:rsidR="00653450" w:rsidRPr="00EB764B" w:rsidTr="00AB6C1F">
        <w:tc>
          <w:tcPr>
            <w:tcW w:w="567"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Виготовлення елементів матеріальної бази мобілізаційного розгортання (ППЗВ, ППЗТ, ДО), пункту прийому особового складу районного територіального центру комплектування та соціальної підтримки</w:t>
            </w:r>
          </w:p>
        </w:tc>
        <w:tc>
          <w:tcPr>
            <w:tcW w:w="2410" w:type="dxa"/>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vAlign w:val="center"/>
          </w:tcPr>
          <w:p w:rsidR="00653450" w:rsidRPr="00EB764B" w:rsidRDefault="00653450" w:rsidP="00AB6C1F">
            <w:pPr>
              <w:spacing w:after="0" w:line="240" w:lineRule="auto"/>
              <w:jc w:val="center"/>
              <w:rPr>
                <w:rFonts w:ascii="Times New Roman" w:eastAsia="Arial Unicode MS" w:hAnsi="Times New Roman"/>
                <w:noProof/>
                <w:color w:val="000000"/>
                <w:sz w:val="24"/>
                <w:szCs w:val="24"/>
                <w:lang w:eastAsia="uk-UA"/>
              </w:rPr>
            </w:pPr>
            <w:r w:rsidRPr="00EB764B">
              <w:rPr>
                <w:rFonts w:ascii="Times New Roman" w:eastAsia="Arial Unicode MS" w:hAnsi="Times New Roman"/>
                <w:noProof/>
                <w:color w:val="000000"/>
                <w:sz w:val="24"/>
                <w:szCs w:val="24"/>
                <w:lang w:eastAsia="uk-UA"/>
              </w:rPr>
              <w:t>7,0</w:t>
            </w:r>
          </w:p>
        </w:tc>
        <w:tc>
          <w:tcPr>
            <w:tcW w:w="1560" w:type="dxa"/>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7,0</w:t>
            </w:r>
          </w:p>
        </w:tc>
        <w:tc>
          <w:tcPr>
            <w:tcW w:w="1417" w:type="dxa"/>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vAlign w:val="center"/>
          </w:tcPr>
          <w:p w:rsidR="00653450" w:rsidRPr="00EB764B" w:rsidRDefault="00653450" w:rsidP="00AB6C1F">
            <w:pPr>
              <w:spacing w:after="0" w:line="240" w:lineRule="auto"/>
              <w:ind w:right="-113"/>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необхідним майном під час мобілізації людських та транспортних ресурсів</w:t>
            </w:r>
          </w:p>
        </w:tc>
      </w:tr>
      <w:tr w:rsidR="00653450" w:rsidRPr="00EB764B" w:rsidTr="00AB6C1F">
        <w:tc>
          <w:tcPr>
            <w:tcW w:w="567"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p>
        </w:tc>
        <w:tc>
          <w:tcPr>
            <w:tcW w:w="4961" w:type="dxa"/>
            <w:shd w:val="clear" w:color="auto" w:fill="auto"/>
          </w:tcPr>
          <w:p w:rsidR="00653450" w:rsidRPr="00EB764B" w:rsidRDefault="00653450" w:rsidP="00AB6C1F">
            <w:pPr>
              <w:spacing w:after="0" w:line="240" w:lineRule="auto"/>
              <w:rPr>
                <w:rFonts w:ascii="Times New Roman" w:eastAsia="Arial Unicode MS" w:hAnsi="Times New Roman"/>
                <w:sz w:val="24"/>
                <w:szCs w:val="24"/>
                <w:lang w:eastAsia="uk-UA"/>
              </w:rPr>
            </w:pPr>
            <w:r w:rsidRPr="00EB764B">
              <w:rPr>
                <w:rFonts w:ascii="Times New Roman" w:eastAsia="Arial Unicode MS" w:hAnsi="Times New Roman"/>
                <w:sz w:val="24"/>
                <w:szCs w:val="24"/>
                <w:lang w:eastAsia="uk-UA"/>
              </w:rPr>
              <w:t xml:space="preserve">Виготовлення знаків, покажчиків, прапорців,  польової навчально-матеріальної бази для проведення бойового </w:t>
            </w:r>
            <w:proofErr w:type="spellStart"/>
            <w:r w:rsidRPr="00EB764B">
              <w:rPr>
                <w:rFonts w:ascii="Times New Roman" w:eastAsia="Arial Unicode MS" w:hAnsi="Times New Roman"/>
                <w:sz w:val="24"/>
                <w:szCs w:val="24"/>
                <w:lang w:eastAsia="uk-UA"/>
              </w:rPr>
              <w:t>злагодження</w:t>
            </w:r>
            <w:proofErr w:type="spellEnd"/>
            <w:r w:rsidRPr="00EB764B">
              <w:rPr>
                <w:rFonts w:ascii="Times New Roman" w:eastAsia="Arial Unicode MS" w:hAnsi="Times New Roman"/>
                <w:sz w:val="24"/>
                <w:szCs w:val="24"/>
                <w:lang w:eastAsia="uk-UA"/>
              </w:rPr>
              <w:t xml:space="preserve"> підрозділів територіальної оборони або підрозділів, які виконують завдання територіальної оборони</w:t>
            </w:r>
          </w:p>
        </w:tc>
        <w:tc>
          <w:tcPr>
            <w:tcW w:w="2410" w:type="dxa"/>
            <w:shd w:val="clear" w:color="auto" w:fill="auto"/>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районний територіальний центр комплектування та соціальної підтримки</w:t>
            </w:r>
          </w:p>
        </w:tc>
        <w:tc>
          <w:tcPr>
            <w:tcW w:w="85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noProof/>
                <w:color w:val="000000"/>
                <w:sz w:val="24"/>
                <w:szCs w:val="24"/>
                <w:lang w:eastAsia="uk-UA"/>
              </w:rPr>
            </w:pPr>
            <w:r w:rsidRPr="00EB764B">
              <w:rPr>
                <w:rFonts w:ascii="Times New Roman" w:eastAsia="Arial Unicode MS" w:hAnsi="Times New Roman"/>
                <w:noProof/>
                <w:color w:val="000000"/>
                <w:sz w:val="24"/>
                <w:szCs w:val="24"/>
                <w:lang w:eastAsia="uk-UA"/>
              </w:rPr>
              <w:t>3,0</w:t>
            </w:r>
          </w:p>
        </w:tc>
        <w:tc>
          <w:tcPr>
            <w:tcW w:w="1560" w:type="dxa"/>
            <w:shd w:val="clear" w:color="auto" w:fill="auto"/>
            <w:vAlign w:val="center"/>
          </w:tcPr>
          <w:p w:rsidR="00653450" w:rsidRPr="00EB764B" w:rsidRDefault="00653450" w:rsidP="00AB6C1F">
            <w:pPr>
              <w:spacing w:after="0" w:line="240" w:lineRule="auto"/>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3,0</w:t>
            </w:r>
          </w:p>
        </w:tc>
        <w:tc>
          <w:tcPr>
            <w:tcW w:w="1417" w:type="dxa"/>
            <w:shd w:val="clear" w:color="auto" w:fill="auto"/>
            <w:vAlign w:val="center"/>
          </w:tcPr>
          <w:p w:rsidR="00653450" w:rsidRPr="00EB764B" w:rsidRDefault="00653450" w:rsidP="00AB6C1F">
            <w:pPr>
              <w:spacing w:after="0" w:line="240" w:lineRule="auto"/>
              <w:rPr>
                <w:rFonts w:ascii="Times New Roman" w:eastAsia="Arial Unicode MS" w:hAnsi="Times New Roman"/>
                <w:color w:val="000000"/>
                <w:sz w:val="24"/>
                <w:szCs w:val="24"/>
                <w:lang w:eastAsia="uk-UA"/>
              </w:rPr>
            </w:pPr>
          </w:p>
        </w:tc>
        <w:tc>
          <w:tcPr>
            <w:tcW w:w="2338" w:type="dxa"/>
            <w:shd w:val="clear" w:color="auto" w:fill="auto"/>
            <w:vAlign w:val="center"/>
          </w:tcPr>
          <w:p w:rsidR="00653450" w:rsidRPr="00EB764B" w:rsidRDefault="00653450" w:rsidP="00AB6C1F">
            <w:pPr>
              <w:spacing w:after="0" w:line="240" w:lineRule="auto"/>
              <w:ind w:right="-113"/>
              <w:jc w:val="center"/>
              <w:rPr>
                <w:rFonts w:ascii="Times New Roman" w:eastAsia="Arial Unicode MS" w:hAnsi="Times New Roman"/>
                <w:color w:val="000000"/>
                <w:sz w:val="24"/>
                <w:szCs w:val="24"/>
                <w:lang w:eastAsia="uk-UA"/>
              </w:rPr>
            </w:pPr>
            <w:r w:rsidRPr="00EB764B">
              <w:rPr>
                <w:rFonts w:ascii="Times New Roman" w:eastAsia="Arial Unicode MS" w:hAnsi="Times New Roman"/>
                <w:color w:val="000000"/>
                <w:sz w:val="24"/>
                <w:szCs w:val="24"/>
                <w:lang w:eastAsia="uk-UA"/>
              </w:rPr>
              <w:t>Забезпечення необхідним майном підрозділів територіальної оборони</w:t>
            </w:r>
          </w:p>
        </w:tc>
      </w:tr>
      <w:tr w:rsidR="00653450" w:rsidRPr="00EB764B" w:rsidTr="00AB6C1F">
        <w:tc>
          <w:tcPr>
            <w:tcW w:w="7938" w:type="dxa"/>
            <w:gridSpan w:val="3"/>
          </w:tcPr>
          <w:p w:rsidR="00653450" w:rsidRPr="00EB764B" w:rsidRDefault="00653450" w:rsidP="00AB6C1F">
            <w:pPr>
              <w:spacing w:after="0" w:line="240" w:lineRule="auto"/>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Всього</w:t>
            </w:r>
          </w:p>
        </w:tc>
        <w:tc>
          <w:tcPr>
            <w:tcW w:w="850" w:type="dxa"/>
            <w:vAlign w:val="center"/>
          </w:tcPr>
          <w:p w:rsidR="00653450" w:rsidRPr="00EB764B" w:rsidRDefault="00653450" w:rsidP="00AB6C1F">
            <w:pPr>
              <w:spacing w:after="0" w:line="240" w:lineRule="auto"/>
              <w:ind w:right="-57"/>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39</w:t>
            </w:r>
            <w:r w:rsidRPr="00EB764B">
              <w:rPr>
                <w:rFonts w:ascii="Times New Roman" w:eastAsia="Arial Unicode MS" w:hAnsi="Times New Roman"/>
                <w:b/>
                <w:color w:val="000000"/>
                <w:sz w:val="24"/>
                <w:szCs w:val="24"/>
                <w:lang w:val="en-US" w:eastAsia="uk-UA"/>
              </w:rPr>
              <w:t>,0</w:t>
            </w:r>
          </w:p>
        </w:tc>
        <w:tc>
          <w:tcPr>
            <w:tcW w:w="1560" w:type="dxa"/>
            <w:vAlign w:val="center"/>
          </w:tcPr>
          <w:p w:rsidR="00653450" w:rsidRPr="00EB764B" w:rsidRDefault="00653450" w:rsidP="00AB6C1F">
            <w:pPr>
              <w:spacing w:after="0" w:line="240" w:lineRule="auto"/>
              <w:ind w:right="-57"/>
              <w:jc w:val="center"/>
              <w:rPr>
                <w:rFonts w:ascii="Times New Roman" w:eastAsia="Arial Unicode MS" w:hAnsi="Times New Roman"/>
                <w:b/>
                <w:color w:val="000000"/>
                <w:sz w:val="24"/>
                <w:szCs w:val="24"/>
                <w:lang w:eastAsia="uk-UA"/>
              </w:rPr>
            </w:pPr>
            <w:r w:rsidRPr="00EB764B">
              <w:rPr>
                <w:rFonts w:ascii="Times New Roman" w:eastAsia="Arial Unicode MS" w:hAnsi="Times New Roman"/>
                <w:b/>
                <w:color w:val="000000"/>
                <w:sz w:val="24"/>
                <w:szCs w:val="24"/>
                <w:lang w:eastAsia="uk-UA"/>
              </w:rPr>
              <w:t>39</w:t>
            </w:r>
            <w:r w:rsidRPr="00EB764B">
              <w:rPr>
                <w:rFonts w:ascii="Times New Roman" w:eastAsia="Arial Unicode MS" w:hAnsi="Times New Roman"/>
                <w:b/>
                <w:color w:val="000000"/>
                <w:sz w:val="24"/>
                <w:szCs w:val="24"/>
                <w:lang w:val="en-US" w:eastAsia="uk-UA"/>
              </w:rPr>
              <w:t>,0</w:t>
            </w:r>
          </w:p>
        </w:tc>
        <w:tc>
          <w:tcPr>
            <w:tcW w:w="1417" w:type="dxa"/>
            <w:vAlign w:val="center"/>
          </w:tcPr>
          <w:p w:rsidR="00653450" w:rsidRPr="00EB764B" w:rsidRDefault="00653450" w:rsidP="00AB6C1F">
            <w:pPr>
              <w:spacing w:after="0" w:line="240" w:lineRule="auto"/>
              <w:jc w:val="center"/>
              <w:rPr>
                <w:rFonts w:ascii="Times New Roman" w:eastAsia="Arial Unicode MS" w:hAnsi="Times New Roman"/>
                <w:b/>
                <w:color w:val="000000"/>
                <w:sz w:val="24"/>
                <w:szCs w:val="24"/>
                <w:lang w:eastAsia="uk-UA"/>
              </w:rPr>
            </w:pPr>
          </w:p>
        </w:tc>
        <w:tc>
          <w:tcPr>
            <w:tcW w:w="2338" w:type="dxa"/>
          </w:tcPr>
          <w:p w:rsidR="00653450" w:rsidRPr="00EB764B" w:rsidRDefault="00653450" w:rsidP="00AB6C1F">
            <w:pPr>
              <w:spacing w:after="0" w:line="240" w:lineRule="auto"/>
              <w:rPr>
                <w:rFonts w:ascii="Times New Roman" w:eastAsia="Arial Unicode MS" w:hAnsi="Times New Roman"/>
                <w:b/>
                <w:color w:val="000000"/>
                <w:sz w:val="24"/>
                <w:szCs w:val="24"/>
                <w:lang w:eastAsia="uk-UA"/>
              </w:rPr>
            </w:pPr>
          </w:p>
        </w:tc>
      </w:tr>
    </w:tbl>
    <w:p w:rsidR="00653450" w:rsidRPr="00EB764B" w:rsidRDefault="00653450" w:rsidP="00653450">
      <w:pPr>
        <w:spacing w:after="0"/>
        <w:rPr>
          <w:rFonts w:ascii="Times New Roman" w:eastAsiaTheme="minorHAnsi" w:hAnsi="Times New Roman"/>
          <w:sz w:val="24"/>
          <w:szCs w:val="24"/>
        </w:rPr>
      </w:pPr>
    </w:p>
    <w:p w:rsidR="00653450" w:rsidRPr="00EB764B" w:rsidRDefault="00653450" w:rsidP="00653450">
      <w:pPr>
        <w:spacing w:after="0"/>
        <w:rPr>
          <w:rFonts w:ascii="Times New Roman" w:eastAsiaTheme="minorHAnsi" w:hAnsi="Times New Roman"/>
          <w:sz w:val="24"/>
          <w:szCs w:val="24"/>
        </w:rPr>
      </w:pPr>
      <w:r w:rsidRPr="00EB764B">
        <w:rPr>
          <w:rFonts w:ascii="Times New Roman" w:eastAsiaTheme="minorHAnsi" w:hAnsi="Times New Roman"/>
          <w:sz w:val="24"/>
          <w:szCs w:val="24"/>
        </w:rPr>
        <w:t>Керівник програми:</w:t>
      </w:r>
    </w:p>
    <w:p w:rsidR="00653450" w:rsidRPr="00EB764B" w:rsidRDefault="00653450" w:rsidP="00653450">
      <w:pPr>
        <w:spacing w:after="0"/>
        <w:rPr>
          <w:rFonts w:ascii="Times New Roman" w:eastAsiaTheme="minorHAnsi" w:hAnsi="Times New Roman"/>
          <w:b/>
          <w:sz w:val="24"/>
          <w:szCs w:val="24"/>
        </w:rPr>
      </w:pPr>
      <w:r w:rsidRPr="00EB764B">
        <w:rPr>
          <w:rFonts w:ascii="Times New Roman" w:eastAsiaTheme="minorHAnsi" w:hAnsi="Times New Roman"/>
          <w:b/>
          <w:sz w:val="24"/>
          <w:szCs w:val="24"/>
        </w:rPr>
        <w:t>Перший заступник селищного  голови</w:t>
      </w:r>
    </w:p>
    <w:p w:rsidR="00653450" w:rsidRDefault="00653450" w:rsidP="00653450">
      <w:pPr>
        <w:spacing w:after="0"/>
        <w:rPr>
          <w:rFonts w:ascii="Times New Roman" w:eastAsiaTheme="minorHAnsi" w:hAnsi="Times New Roman"/>
          <w:b/>
          <w:sz w:val="24"/>
          <w:szCs w:val="24"/>
        </w:rPr>
      </w:pPr>
      <w:r w:rsidRPr="00EB764B">
        <w:rPr>
          <w:rFonts w:ascii="Times New Roman" w:eastAsiaTheme="minorHAnsi" w:hAnsi="Times New Roman"/>
          <w:b/>
          <w:sz w:val="24"/>
          <w:szCs w:val="24"/>
        </w:rPr>
        <w:tab/>
        <w:t xml:space="preserve">                                                                                                                                                 </w:t>
      </w:r>
      <w:r>
        <w:rPr>
          <w:rFonts w:ascii="Times New Roman" w:eastAsiaTheme="minorHAnsi" w:hAnsi="Times New Roman"/>
          <w:b/>
          <w:sz w:val="24"/>
          <w:szCs w:val="24"/>
        </w:rPr>
        <w:t xml:space="preserve">   </w:t>
      </w:r>
      <w:r w:rsidRPr="00EB764B">
        <w:rPr>
          <w:rFonts w:ascii="Times New Roman" w:eastAsiaTheme="minorHAnsi" w:hAnsi="Times New Roman"/>
          <w:b/>
          <w:sz w:val="24"/>
          <w:szCs w:val="24"/>
        </w:rPr>
        <w:t>Наталія ТЮТЮННИК</w:t>
      </w:r>
    </w:p>
    <w:p w:rsidR="00994F7B" w:rsidRPr="00653450" w:rsidRDefault="009D13BB" w:rsidP="00653450"/>
    <w:sectPr w:rsidR="00994F7B" w:rsidRPr="00653450" w:rsidSect="00653450">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3B5"/>
    <w:rsid w:val="00057B0B"/>
    <w:rsid w:val="000648D7"/>
    <w:rsid w:val="0018070E"/>
    <w:rsid w:val="001F7C8A"/>
    <w:rsid w:val="002253B5"/>
    <w:rsid w:val="00257506"/>
    <w:rsid w:val="002E6803"/>
    <w:rsid w:val="002E74D7"/>
    <w:rsid w:val="00311C80"/>
    <w:rsid w:val="00376C83"/>
    <w:rsid w:val="003D3E69"/>
    <w:rsid w:val="004C5D16"/>
    <w:rsid w:val="00537FD8"/>
    <w:rsid w:val="005A3355"/>
    <w:rsid w:val="00653450"/>
    <w:rsid w:val="006D3ECD"/>
    <w:rsid w:val="007456C6"/>
    <w:rsid w:val="007475BD"/>
    <w:rsid w:val="007D6BC2"/>
    <w:rsid w:val="007D7A04"/>
    <w:rsid w:val="009B0183"/>
    <w:rsid w:val="009D13BB"/>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3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3B5"/>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48D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648D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3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3B5"/>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48D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648D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6672</Words>
  <Characters>3804</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2022-05-23T11:47:00Z</dcterms:created>
  <dcterms:modified xsi:type="dcterms:W3CDTF">2022-05-23T11:47:00Z</dcterms:modified>
</cp:coreProperties>
</file>